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3066" w:rsidRPr="00E72A66" w:rsidRDefault="00E72A66">
      <w:pPr>
        <w:rPr>
          <w:rFonts w:cstheme="minorHAnsi"/>
          <w:sz w:val="24"/>
          <w:szCs w:val="24"/>
        </w:rPr>
      </w:pPr>
      <w:r w:rsidRPr="00E72A66">
        <w:rPr>
          <w:rFonts w:cstheme="minorHAnsi"/>
          <w:sz w:val="24"/>
          <w:szCs w:val="24"/>
        </w:rPr>
        <w:t>"Предки украинцев: кто они? Этнические и исторические предпосылки разделения населения Украины на русскую и украинскую нации: степень их влияния»</w:t>
      </w:r>
    </w:p>
    <w:p w:rsidR="00E72A66" w:rsidRPr="00E72A66" w:rsidRDefault="00E72A66">
      <w:pPr>
        <w:rPr>
          <w:rFonts w:cstheme="minorHAnsi"/>
          <w:sz w:val="24"/>
          <w:szCs w:val="24"/>
        </w:rPr>
      </w:pPr>
      <w:bookmarkStart w:id="0" w:name="_GoBack"/>
      <w:bookmarkEnd w:id="0"/>
    </w:p>
    <w:p w:rsidR="00E72A66" w:rsidRPr="00E72A66" w:rsidRDefault="00E72A66">
      <w:pPr>
        <w:rPr>
          <w:rFonts w:cstheme="minorHAnsi"/>
          <w:color w:val="333333"/>
          <w:sz w:val="24"/>
          <w:szCs w:val="24"/>
          <w:shd w:val="clear" w:color="auto" w:fill="FFFFFF"/>
        </w:rPr>
      </w:pPr>
      <w:r w:rsidRPr="00E72A66">
        <w:rPr>
          <w:rStyle w:val="a3"/>
          <w:rFonts w:cstheme="minorHAnsi"/>
          <w:color w:val="333333"/>
          <w:sz w:val="24"/>
          <w:szCs w:val="24"/>
        </w:rPr>
        <w:t>Доклад экспертному клубу Институту русско-славянских исследований им. Н.Я. Данилевского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t> 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t>Существуют две группы факторов формирования нации: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t> 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t>1) Объективистские факторы: этничность, этнические общности, история, государство, язык. 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t>2) Конструктивистские факторы: национализм, внешние влияния, проектирование, идентичность, в т.ч.,  самоидентификация, этноним, идеологические симулякры.</w:t>
      </w:r>
    </w:p>
    <w:p w:rsidR="00E72A66" w:rsidRPr="00E72A66" w:rsidRDefault="00E72A66">
      <w:pPr>
        <w:rPr>
          <w:rFonts w:cstheme="minorHAnsi"/>
          <w:sz w:val="24"/>
          <w:szCs w:val="24"/>
        </w:rPr>
      </w:pPr>
      <w:r w:rsidRPr="00E72A66">
        <w:rPr>
          <w:rStyle w:val="a4"/>
          <w:rFonts w:cstheme="minorHAnsi"/>
          <w:color w:val="333333"/>
          <w:sz w:val="24"/>
          <w:szCs w:val="24"/>
        </w:rPr>
        <w:t>В ситуации с украинской нацией значимость второй группы факторов переоценивается всеми сторонами, в соответствии с модной доктриной конструктивизма.</w:t>
      </w:r>
      <w:r w:rsidRPr="00E72A66">
        <w:rPr>
          <w:rFonts w:cstheme="minorHAnsi"/>
          <w:b/>
          <w:bCs/>
          <w:color w:val="333333"/>
          <w:sz w:val="24"/>
          <w:szCs w:val="24"/>
        </w:rPr>
        <w:br/>
      </w:r>
      <w:r w:rsidRPr="00E72A66">
        <w:rPr>
          <w:rFonts w:cstheme="minorHAnsi"/>
          <w:b/>
          <w:bCs/>
          <w:color w:val="333333"/>
          <w:sz w:val="24"/>
          <w:szCs w:val="24"/>
        </w:rPr>
        <w:br/>
      </w:r>
      <w:r w:rsidRPr="00E72A66">
        <w:rPr>
          <w:rStyle w:val="a4"/>
          <w:rFonts w:cstheme="minorHAnsi"/>
          <w:color w:val="333333"/>
          <w:sz w:val="24"/>
          <w:szCs w:val="24"/>
        </w:rPr>
        <w:t>Первая группа не получила всесторонней научной оценки.</w:t>
      </w:r>
      <w:r w:rsidRPr="00E72A66">
        <w:rPr>
          <w:rFonts w:cstheme="minorHAnsi"/>
          <w:b/>
          <w:bCs/>
          <w:color w:val="333333"/>
          <w:sz w:val="24"/>
          <w:szCs w:val="24"/>
        </w:rPr>
        <w:br/>
      </w:r>
      <w:r w:rsidRPr="00E72A66">
        <w:rPr>
          <w:rFonts w:cstheme="minorHAnsi"/>
          <w:b/>
          <w:bCs/>
          <w:color w:val="333333"/>
          <w:sz w:val="24"/>
          <w:szCs w:val="24"/>
        </w:rPr>
        <w:br/>
      </w:r>
      <w:r w:rsidRPr="00E72A66">
        <w:rPr>
          <w:rStyle w:val="a4"/>
          <w:rFonts w:cstheme="minorHAnsi"/>
          <w:color w:val="333333"/>
          <w:sz w:val="24"/>
          <w:szCs w:val="24"/>
        </w:rPr>
        <w:t>Задача настоящего доклада – сформировать научную оценку объективных исторических факторов возникновения русско-украинского вопроса, показать его связь с фрагментацией славянства в период расселения.</w:t>
      </w:r>
      <w:r w:rsidRPr="00E72A66">
        <w:rPr>
          <w:rFonts w:cstheme="minorHAnsi"/>
          <w:b/>
          <w:bCs/>
          <w:color w:val="333333"/>
          <w:sz w:val="24"/>
          <w:szCs w:val="24"/>
        </w:rPr>
        <w:br/>
      </w:r>
      <w:r w:rsidRPr="00E72A66">
        <w:rPr>
          <w:rFonts w:cstheme="minorHAnsi"/>
          <w:b/>
          <w:bCs/>
          <w:color w:val="333333"/>
          <w:sz w:val="24"/>
          <w:szCs w:val="24"/>
        </w:rPr>
        <w:br/>
      </w:r>
      <w:r w:rsidRPr="00E72A66">
        <w:rPr>
          <w:rStyle w:val="a4"/>
          <w:rFonts w:cstheme="minorHAnsi"/>
          <w:color w:val="333333"/>
          <w:sz w:val="24"/>
          <w:szCs w:val="24"/>
        </w:rPr>
        <w:t>Краткое резюме доклада. Предки украинцев: кто они?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t>Современная историческая наука позволяет определить, какая из групп славян стала основой для этнического массива, ставшего предшественником центрально-украинской и западно-украинской народностей, а также их отличия от исчезнувшей древнерусской народности Левого берега Днепра. 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t>Данную группу характеризует высокая степень устойчивости, традиционности и ригидности, причиной чего стало пребывание на территории восточной части праславянского ареала (время существования праславян примерно III тыс. до н.э.- 500 г. н.э.), в отличие от предков великороссов, восточных белорусов и древнерусской народности, которые сложились в результате этногенеза славян уже на новых землях, где славян до того не было.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t>Данные факторы определили склонность к обособленности в рамках русского этногенеза и восточнославянской интеграции, что и способствовало украинскому национализму в XX веке, внедрённому при внешнем влиянии Польши и Австро-Венгрии, и большевистской украинизации, нацистской Германии, а в последние десятилетия США и ЕС. Однако вряд ли бы их усилия были успешными, если бы не легли на благоприятную почву. Это необходимо понять для успешной стратегии русского мира по украинскому вопросу.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t xml:space="preserve">В VII-IX вв. на Правом берегу Днепра сформировалась дулебская группа народностей (В.В. </w:t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lastRenderedPageBreak/>
        <w:t>Седов), признаком которой является Лука-Райковецкая археологическая культура (VII-X вв.), являющаяся прямой наследницей Пражской культуры (в отечественной историографии «Прага-Корчак» (V-VII вв. н.э.). В дулебскую группу кроме дулебов вошли народности волынян, бужан, древлян, дреговичей и полян, возможно, тиверцев и уличей. Поляне представляли восточный клин на Среднем Днепре в регионе Киева.   В позднем Средневековье эта группы составила основу предков малороссов Гетманщины и Подолии, русин Прикарпатья, Волыни, Закарпатья, руснаков Буковины.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t>В то же время на Левом берегу Днепра, между Средним Днепром и Средним Доном сформировалась группа народностей, являющихся носителями сначала Волынцевской, а затем Роменской и Борщевской культур: северяне, радимичи, горюны и другие. Позднее они образовали древнерусскую народность. Их влияние распространилось на полян и Киев. В Киеве возобладал вариант языка левобережной группы, который стал основой развития русского языка.  К древнерусской народности присоединились и верхние мобильные социальные группы в крупных городах других восточнославянских земель, подпавшие под их культурное и политическое влияние: князья, дружинная прослойка, духовенство, торговцы. Влияние древнерусской народности Русской земли распространялось прежде всего на соседнюю с севера Землю вятичей, и на все восточнославянские земли.  Однако на Западной Украине и Правом берегу в целом это влияние оказалось недостаточным для того, чтобы включить их в древнерусскую народность уже в домонгольский период. 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t>В X-XIV вв. восточные славяне не представляли собой единого этноса, а жили в рамках различных народностей, постепенно интегрировавшихся в русский суперэтнос.  Древнерусская народность Левого берега Днепра была одной из них. В государственном отношении они объединялись в земли и великие княжения. На территории современной Украины сложились два великих княжения с их сателлитами: Галицко-Волынское (дулебская группа, Правый берег) и Черниговское (Русская земля, Левый берег), между которыми располагалось небольшое Киевское княжество, выступавшее в качестве приложения к переходящему киевскому княжескому столу.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t>В XV-XVII вв. остатки древнерусской народности Русской земли из-за неблагоприятных политических условий были «размыты» выходцами-переселенцами с Правого берега, которые принесли свои языковые и этнографические особенности, которые мы соотносим с современными украинцами.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t>Севернее этнические популяции Русской земли были «размыты» предками великороссов. Однако в некоторых регионах (север Сумской области, Путивль и других) они сохранились до последнего десятилетия XX века (например, горюны). Восточные малороссы вместе с тем усвоили некоторое влияние древнерусской народности.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t xml:space="preserve">Все указанные факторы привели к языковому и этническому разделу Украины в новейшее время на запад-правобережный Центр и восток-юго-восток, что и отразилось в языковой и политической картах (см. далее). Они соответствуют фактически украинской и русской нациям на Украине, причём довольно большая часть потомков дулебской группы включена в состав русской нации и общерусских популяций Слобожанщины, Новороссии, </w:t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lastRenderedPageBreak/>
        <w:t>крупных городов Центра и русского мира в целом, что и объясняет присутствие украинцев в современном русском народе.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t>Однако ядро на Правом берегу и Западной Украине сохранилось и является очевидным фактором, противостоящим общерусской интеграции и склонным к отдельной украинской нации. Существует большая доля промежуточного населения, ориентированного националистами как «украинцы».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t>Выходом из данной ситуации является скорейший раздел Украины на русское и украинское государства примерно по Днепру (Одесская и Николаевская области в составе Новороссии), с полной русификацией восточной части по типу ДНР-ЛНР и дальнейшим влиянием на правобережную часть.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t> 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Style w:val="a4"/>
          <w:rFonts w:cstheme="minorHAnsi"/>
          <w:color w:val="333333"/>
          <w:sz w:val="24"/>
          <w:szCs w:val="24"/>
        </w:rPr>
        <w:t>Языковая карта Украины (2003): 3 части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6962775" cy="4752975"/>
            <wp:effectExtent l="0" t="0" r="9525" b="9525"/>
            <wp:docPr id="12" name="Рисунок 12" descr="http://www.grso.ru/uploads/media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rso.ru/uploads/media/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Style w:val="a4"/>
          <w:rFonts w:cstheme="minorHAnsi"/>
          <w:color w:val="333333"/>
          <w:sz w:val="24"/>
          <w:szCs w:val="24"/>
        </w:rPr>
        <w:t>Голосование за партии в 2012 году (ПР и БЮТ)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059025" cy="10601325"/>
            <wp:effectExtent l="0" t="0" r="9525" b="9525"/>
            <wp:docPr id="11" name="Рисунок 11" descr="http://www.grso.ru/uploads/media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rso.ru/uploads/media/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9025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lastRenderedPageBreak/>
        <w:br/>
      </w:r>
      <w:r w:rsidRPr="00E72A66">
        <w:rPr>
          <w:rStyle w:val="a4"/>
          <w:rFonts w:cstheme="minorHAnsi"/>
          <w:color w:val="333333"/>
          <w:sz w:val="24"/>
          <w:szCs w:val="24"/>
        </w:rPr>
        <w:t>Распад единого славянского этноса – переход к раннесредневековым славянским народностям</w:t>
      </w:r>
      <w:r w:rsidRPr="00E72A66">
        <w:rPr>
          <w:rFonts w:cstheme="minorHAnsi"/>
          <w:b/>
          <w:bCs/>
          <w:color w:val="333333"/>
          <w:sz w:val="24"/>
          <w:szCs w:val="24"/>
        </w:rPr>
        <w:br/>
      </w:r>
      <w:r w:rsidRPr="00E72A66">
        <w:rPr>
          <w:rFonts w:cstheme="minorHAnsi"/>
          <w:b/>
          <w:bCs/>
          <w:color w:val="333333"/>
          <w:sz w:val="24"/>
          <w:szCs w:val="24"/>
        </w:rPr>
        <w:br/>
      </w:r>
      <w:r w:rsidRPr="00E72A66">
        <w:rPr>
          <w:rStyle w:val="a4"/>
          <w:rFonts w:cstheme="minorHAnsi"/>
          <w:color w:val="333333"/>
          <w:sz w:val="24"/>
          <w:szCs w:val="24"/>
        </w:rPr>
        <w:t>Расселения и экспансия славянства 700 г.н.э 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3771900" cy="2571750"/>
            <wp:effectExtent l="0" t="0" r="0" b="0"/>
            <wp:docPr id="10" name="Рисунок 10" descr="http://www.grso.ru/uploads/media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rso.ru/uploads/media/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Style w:val="a4"/>
          <w:rFonts w:cstheme="minorHAnsi"/>
          <w:color w:val="333333"/>
          <w:sz w:val="24"/>
          <w:szCs w:val="24"/>
        </w:rPr>
        <w:t>Границы прародины славянства (примерно III тыс. до н.э. -500 г.н.э.)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Style w:val="a4"/>
          <w:rFonts w:cstheme="minorHAnsi"/>
          <w:color w:val="333333"/>
          <w:sz w:val="24"/>
          <w:szCs w:val="24"/>
        </w:rPr>
        <w:t>- Между Вислой и Западным Бугом.</w:t>
      </w:r>
      <w:r w:rsidRPr="00E72A66">
        <w:rPr>
          <w:rFonts w:cstheme="minorHAnsi"/>
          <w:b/>
          <w:bCs/>
          <w:color w:val="333333"/>
          <w:sz w:val="24"/>
          <w:szCs w:val="24"/>
        </w:rPr>
        <w:br/>
      </w:r>
      <w:r w:rsidRPr="00E72A66">
        <w:rPr>
          <w:rFonts w:cstheme="minorHAnsi"/>
          <w:b/>
          <w:bCs/>
          <w:color w:val="333333"/>
          <w:sz w:val="24"/>
          <w:szCs w:val="24"/>
        </w:rPr>
        <w:br/>
      </w:r>
      <w:r w:rsidRPr="00E72A66">
        <w:rPr>
          <w:rStyle w:val="a4"/>
          <w:rFonts w:cstheme="minorHAnsi"/>
          <w:color w:val="333333"/>
          <w:sz w:val="24"/>
          <w:szCs w:val="24"/>
        </w:rPr>
        <w:t>- Между бассейном Вислы и бассейном Припяти.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Style w:val="a3"/>
          <w:rFonts w:cstheme="minorHAnsi"/>
          <w:b/>
          <w:bCs/>
          <w:color w:val="333333"/>
          <w:sz w:val="24"/>
          <w:szCs w:val="24"/>
        </w:rPr>
        <w:t>Компактная территория прародины славянства включала в себя Западную Украину (Волынь, Западная Подолия, Северная Галиция) и Западную Белоруссию.</w:t>
      </w:r>
      <w:r w:rsidRPr="00E72A66">
        <w:rPr>
          <w:rFonts w:cstheme="minorHAnsi"/>
          <w:b/>
          <w:bCs/>
          <w:i/>
          <w:iCs/>
          <w:color w:val="333333"/>
          <w:sz w:val="24"/>
          <w:szCs w:val="24"/>
        </w:rPr>
        <w:br/>
      </w:r>
      <w:r w:rsidRPr="00E72A66">
        <w:rPr>
          <w:rFonts w:cstheme="minorHAnsi"/>
          <w:b/>
          <w:bCs/>
          <w:i/>
          <w:iCs/>
          <w:color w:val="333333"/>
          <w:sz w:val="24"/>
          <w:szCs w:val="24"/>
        </w:rPr>
        <w:br/>
      </w:r>
      <w:r w:rsidRPr="00E72A66">
        <w:rPr>
          <w:rStyle w:val="a3"/>
          <w:rFonts w:cstheme="minorHAnsi"/>
          <w:b/>
          <w:bCs/>
          <w:color w:val="333333"/>
          <w:sz w:val="24"/>
          <w:szCs w:val="24"/>
        </w:rPr>
        <w:t>Вывод: Часть восточных славян на Украине являются автохтонами, то есть проживали там практически всегда (около 5 тыс. лет), в отличие от других восточных славян, которые пришли на нынешние территории после 500 г.н.э.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Style w:val="a4"/>
          <w:rFonts w:cstheme="minorHAnsi"/>
          <w:color w:val="333333"/>
          <w:sz w:val="24"/>
          <w:szCs w:val="24"/>
        </w:rPr>
        <w:t>Пражская культура – «Прага-Корчак» (400-700 гг. н.э.)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76725" cy="2990850"/>
            <wp:effectExtent l="0" t="0" r="9525" b="0"/>
            <wp:docPr id="9" name="Рисунок 9" descr="http://www.grso.ru/uploads/media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rso.ru/uploads/media/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Style w:val="a4"/>
          <w:rFonts w:cstheme="minorHAnsi"/>
          <w:color w:val="333333"/>
          <w:sz w:val="24"/>
          <w:szCs w:val="24"/>
        </w:rPr>
        <w:t>Одна из трёх крупных славянских культур начального периода расселения (также Пеньковская и Суковско-Дзедзицкая )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Style w:val="a4"/>
          <w:rFonts w:cstheme="minorHAnsi"/>
          <w:color w:val="333333"/>
          <w:sz w:val="24"/>
          <w:szCs w:val="24"/>
        </w:rPr>
        <w:t>Наследница Пражской культуры на территории Украины – Лука-Райковецкая культура Правобережья Днепра  (VII-VIII вв. н.э.)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Style w:val="a4"/>
          <w:rFonts w:cstheme="minorHAnsi"/>
          <w:color w:val="333333"/>
          <w:sz w:val="24"/>
          <w:szCs w:val="24"/>
        </w:rPr>
        <w:t>Лука-Райковецкая культура связывается с летописными «племенами» из ПВЛ (раннесредневековыми народностями):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t>- дулебов (дулебская группа в целом)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t>- волынян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t>- древлян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t>- бужан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t>- полян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t>- дреговичей.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Style w:val="a4"/>
          <w:rFonts w:cstheme="minorHAnsi"/>
          <w:color w:val="333333"/>
          <w:sz w:val="24"/>
          <w:szCs w:val="24"/>
        </w:rPr>
        <w:t>Данные народности связываются с предками позднейших украинцев и являются наиболее ранней этнической основой украинцев.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Style w:val="a4"/>
          <w:rFonts w:cstheme="minorHAnsi"/>
          <w:color w:val="333333"/>
          <w:sz w:val="24"/>
          <w:szCs w:val="24"/>
        </w:rPr>
        <w:t>Лука-Райковецкая культура и Волынцевская культура: Правый и Левый берега Днепра в Раннем Средневековье (VII-VIII вв. н.э.)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487025" cy="7753350"/>
            <wp:effectExtent l="0" t="0" r="9525" b="0"/>
            <wp:docPr id="8" name="Рисунок 8" descr="http://www.grso.ru/uploads/media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rso.ru/uploads/media/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2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Style w:val="a4"/>
          <w:rFonts w:cstheme="minorHAnsi"/>
          <w:color w:val="333333"/>
          <w:sz w:val="24"/>
          <w:szCs w:val="24"/>
        </w:rPr>
        <w:t>Левобережное ядро древнерусской народности – археологические памятники Волынцевской культуры (по книге В.В. Седова «Древнерусская народность)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33925" cy="4591050"/>
            <wp:effectExtent l="0" t="0" r="9525" b="0"/>
            <wp:docPr id="7" name="Рисунок 7" descr="http://www.grso.ru/uploads/media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grso.ru/uploads/media/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Style w:val="a4"/>
          <w:rFonts w:cstheme="minorHAnsi"/>
          <w:color w:val="333333"/>
          <w:sz w:val="24"/>
          <w:szCs w:val="24"/>
        </w:rPr>
        <w:t>Различие ареалов восточнославянских групп VIII-IX вв.: археологические памятники народностей дулебской группы (волыняне, древляне, поляне) и северо-великорусской группы (браслетообразных височных колец – их обозначают кружки в правом верхнем углу)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14800" cy="4762500"/>
            <wp:effectExtent l="0" t="0" r="0" b="0"/>
            <wp:docPr id="6" name="Рисунок 6" descr="http://www.grso.ru/uploads/media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rso.ru/uploads/media/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Style w:val="a4"/>
          <w:rFonts w:cstheme="minorHAnsi"/>
          <w:color w:val="333333"/>
          <w:sz w:val="24"/>
          <w:szCs w:val="24"/>
        </w:rPr>
        <w:t>Деление восточного славянства VIII-XII вв. н.э. на 4 крупнейшие ветви и их связь с современными восточнославянскими группами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t>Северо-запад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t>– Полоцк, Смоленск, Новгород, Псков, Тверь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t>Кривичи, а также словене – предки западных великороссов и северных белорусов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t> 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t>Северо-восток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t>Славяне Ростово-суздальской земли (браслетообразные кольца) – предки северных и восточных великороссов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t>Юго-запад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t>Правый берег Днепра и район Киева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t>Дулебская группа – предки украинцев и южных белорусов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t> 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t>Юго-восток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t>«Русская земля», Левый берег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t>(«древнерусская народность» и вятичи – отдельная народность), северяне, радимичи, вятичи, горюны. Предки южных великороссов и русских Восточной Украины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t> 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Style w:val="a4"/>
          <w:rFonts w:cstheme="minorHAnsi"/>
          <w:color w:val="333333"/>
          <w:sz w:val="24"/>
          <w:szCs w:val="24"/>
        </w:rPr>
        <w:t xml:space="preserve">Крупнейшие древнерусские княжества юга:  Черниговское и Галицко-Волынское: </w:t>
      </w:r>
      <w:r w:rsidRPr="00E72A66">
        <w:rPr>
          <w:rStyle w:val="a4"/>
          <w:rFonts w:cstheme="minorHAnsi"/>
          <w:color w:val="333333"/>
          <w:sz w:val="24"/>
          <w:szCs w:val="24"/>
        </w:rPr>
        <w:lastRenderedPageBreak/>
        <w:t>«Русская земля» против дулебской группы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10375" cy="9753600"/>
            <wp:effectExtent l="0" t="0" r="9525" b="0"/>
            <wp:docPr id="5" name="Рисунок 5" descr="http://www.grso.ru/uploads/media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grso.ru/uploads/media/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lastRenderedPageBreak/>
        <w:br/>
      </w:r>
      <w:r w:rsidRPr="00E72A66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4762500" cy="5238750"/>
            <wp:effectExtent l="0" t="0" r="0" b="0"/>
            <wp:docPr id="4" name="Рисунок 4" descr="http://www.grso.ru/uploads/media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grso.ru/uploads/media/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t> 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Style w:val="a4"/>
          <w:rFonts w:cstheme="minorHAnsi"/>
          <w:color w:val="333333"/>
          <w:sz w:val="24"/>
          <w:szCs w:val="24"/>
        </w:rPr>
        <w:t>Галицко-Волынское княжество (XII-XIV вв.) в ареале дулебской группы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00550" cy="3476625"/>
            <wp:effectExtent l="0" t="0" r="0" b="9525"/>
            <wp:docPr id="3" name="Рисунок 3" descr="http://www.grso.ru/uploads/media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grso.ru/uploads/media/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Style w:val="a4"/>
          <w:rFonts w:cstheme="minorHAnsi"/>
          <w:color w:val="333333"/>
          <w:sz w:val="24"/>
          <w:szCs w:val="24"/>
        </w:rPr>
        <w:t>Центры этногенеза восточных славян в VIII-XIII вв. н.э.</w:t>
      </w:r>
      <w:r w:rsidRPr="00E72A66">
        <w:rPr>
          <w:rFonts w:cstheme="minorHAnsi"/>
          <w:b/>
          <w:bCs/>
          <w:color w:val="333333"/>
          <w:sz w:val="24"/>
          <w:szCs w:val="24"/>
        </w:rPr>
        <w:br/>
      </w:r>
      <w:r w:rsidRPr="00E72A66">
        <w:rPr>
          <w:rStyle w:val="a4"/>
          <w:rFonts w:cstheme="minorHAnsi"/>
          <w:color w:val="333333"/>
          <w:sz w:val="24"/>
          <w:szCs w:val="24"/>
        </w:rPr>
        <w:t>(Из книги: Баранов С.Д., Конов Д.В. Русская нация. Современный портрет. М., 2009.)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33950" cy="7762875"/>
            <wp:effectExtent l="0" t="0" r="0" b="9525"/>
            <wp:docPr id="2" name="Рисунок 2" descr="http://www.grso.ru/uploads/media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grso.ru/uploads/media/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Style w:val="a4"/>
          <w:rFonts w:cstheme="minorHAnsi"/>
          <w:i/>
          <w:iCs/>
          <w:color w:val="333333"/>
          <w:sz w:val="24"/>
          <w:szCs w:val="24"/>
        </w:rPr>
        <w:t>Выводы:</w:t>
      </w:r>
      <w:r w:rsidRPr="00E72A66">
        <w:rPr>
          <w:rFonts w:cstheme="minorHAnsi"/>
          <w:b/>
          <w:bCs/>
          <w:i/>
          <w:iCs/>
          <w:color w:val="333333"/>
          <w:sz w:val="24"/>
          <w:szCs w:val="24"/>
        </w:rPr>
        <w:br/>
      </w:r>
      <w:r w:rsidRPr="00E72A66">
        <w:rPr>
          <w:rFonts w:cstheme="minorHAnsi"/>
          <w:b/>
          <w:bCs/>
          <w:i/>
          <w:iCs/>
          <w:color w:val="333333"/>
          <w:sz w:val="24"/>
          <w:szCs w:val="24"/>
        </w:rPr>
        <w:br/>
      </w:r>
      <w:r w:rsidRPr="00E72A66">
        <w:rPr>
          <w:rStyle w:val="a4"/>
          <w:rFonts w:cstheme="minorHAnsi"/>
          <w:i/>
          <w:iCs/>
          <w:color w:val="333333"/>
          <w:sz w:val="24"/>
          <w:szCs w:val="24"/>
        </w:rPr>
        <w:t>Единой древнерусской народности в масштабах всего восточного славянства не существовало, хотя и происходила его постепенная этническая интеграция.</w:t>
      </w:r>
      <w:r w:rsidRPr="00E72A66">
        <w:rPr>
          <w:rFonts w:cstheme="minorHAnsi"/>
          <w:b/>
          <w:bCs/>
          <w:i/>
          <w:iCs/>
          <w:color w:val="333333"/>
          <w:sz w:val="24"/>
          <w:szCs w:val="24"/>
        </w:rPr>
        <w:br/>
      </w:r>
      <w:r w:rsidRPr="00E72A66">
        <w:rPr>
          <w:rFonts w:cstheme="minorHAnsi"/>
          <w:b/>
          <w:bCs/>
          <w:i/>
          <w:iCs/>
          <w:color w:val="333333"/>
          <w:sz w:val="24"/>
          <w:szCs w:val="24"/>
        </w:rPr>
        <w:br/>
      </w:r>
      <w:r w:rsidRPr="00E72A66">
        <w:rPr>
          <w:rStyle w:val="a4"/>
          <w:rFonts w:cstheme="minorHAnsi"/>
          <w:i/>
          <w:iCs/>
          <w:color w:val="333333"/>
          <w:sz w:val="24"/>
          <w:szCs w:val="24"/>
        </w:rPr>
        <w:t xml:space="preserve">Древнерусская народность ограничивалась Левым берегом, Киевом и верхушкой </w:t>
      </w:r>
      <w:r w:rsidRPr="00E72A66">
        <w:rPr>
          <w:rStyle w:val="a4"/>
          <w:rFonts w:cstheme="minorHAnsi"/>
          <w:i/>
          <w:iCs/>
          <w:color w:val="333333"/>
          <w:sz w:val="24"/>
          <w:szCs w:val="24"/>
        </w:rPr>
        <w:lastRenderedPageBreak/>
        <w:t>общества в других землях и крупных городах.</w:t>
      </w:r>
      <w:r w:rsidRPr="00E72A66">
        <w:rPr>
          <w:rFonts w:cstheme="minorHAnsi"/>
          <w:b/>
          <w:bCs/>
          <w:i/>
          <w:iCs/>
          <w:color w:val="333333"/>
          <w:sz w:val="24"/>
          <w:szCs w:val="24"/>
        </w:rPr>
        <w:br/>
      </w:r>
      <w:r w:rsidRPr="00E72A66">
        <w:rPr>
          <w:rFonts w:cstheme="minorHAnsi"/>
          <w:b/>
          <w:bCs/>
          <w:i/>
          <w:iCs/>
          <w:color w:val="333333"/>
          <w:sz w:val="24"/>
          <w:szCs w:val="24"/>
        </w:rPr>
        <w:br/>
      </w:r>
      <w:r w:rsidRPr="00E72A66">
        <w:rPr>
          <w:rStyle w:val="a4"/>
          <w:rFonts w:cstheme="minorHAnsi"/>
          <w:i/>
          <w:iCs/>
          <w:color w:val="333333"/>
          <w:sz w:val="24"/>
          <w:szCs w:val="24"/>
        </w:rPr>
        <w:t>Правобережная Украина - Подолия, Галиция, Волынь, Правобережное Полесье -несмотря на сильное влияние Русской земли,  сохраняла свою этническую и отчасти политическую обособленность.</w:t>
      </w:r>
      <w:r w:rsidRPr="00E72A66">
        <w:rPr>
          <w:rFonts w:cstheme="minorHAnsi"/>
          <w:b/>
          <w:bCs/>
          <w:i/>
          <w:iCs/>
          <w:color w:val="333333"/>
          <w:sz w:val="24"/>
          <w:szCs w:val="24"/>
        </w:rPr>
        <w:br/>
      </w:r>
      <w:r w:rsidRPr="00E72A66">
        <w:rPr>
          <w:rFonts w:cstheme="minorHAnsi"/>
          <w:b/>
          <w:bCs/>
          <w:i/>
          <w:iCs/>
          <w:color w:val="333333"/>
          <w:sz w:val="24"/>
          <w:szCs w:val="24"/>
        </w:rPr>
        <w:br/>
      </w:r>
      <w:r w:rsidRPr="00E72A66">
        <w:rPr>
          <w:rStyle w:val="a4"/>
          <w:rFonts w:cstheme="minorHAnsi"/>
          <w:i/>
          <w:iCs/>
          <w:color w:val="333333"/>
          <w:sz w:val="24"/>
          <w:szCs w:val="24"/>
        </w:rPr>
        <w:t>Политические катастрофы Руси: монголо-татарское нашествие, экспансия Литвы и Речи Посполитой усилили её обособление и ослабили влияния древнерусской народности (но кардинально не поменяли ситуацию, которая изменилась постепенно под давлением в том числе этих факторов).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Style w:val="a4"/>
          <w:rFonts w:cstheme="minorHAnsi"/>
          <w:color w:val="333333"/>
          <w:sz w:val="24"/>
          <w:szCs w:val="24"/>
        </w:rPr>
        <w:t>Общерусское и украинское этнолингвистические ядра и современная языковая карта Украины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715000" cy="4162425"/>
            <wp:effectExtent l="0" t="0" r="0" b="9525"/>
            <wp:docPr id="1" name="Рисунок 1" descr="http://www.grso.ru/uploads/media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grso.ru/uploads/media/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Style w:val="a4"/>
          <w:rFonts w:cstheme="minorHAnsi"/>
          <w:i/>
          <w:iCs/>
          <w:color w:val="333333"/>
          <w:sz w:val="24"/>
          <w:szCs w:val="24"/>
        </w:rPr>
        <w:t>В XVII веке на юге Руси соседствовали следующие народности, входившие в русский суперэтнос («русский мир»):</w:t>
      </w:r>
      <w:r w:rsidRPr="00E72A66">
        <w:rPr>
          <w:rFonts w:cstheme="minorHAnsi"/>
          <w:b/>
          <w:bCs/>
          <w:i/>
          <w:iCs/>
          <w:color w:val="333333"/>
          <w:sz w:val="24"/>
          <w:szCs w:val="24"/>
        </w:rPr>
        <w:br/>
      </w:r>
      <w:r w:rsidRPr="00E72A66">
        <w:rPr>
          <w:rFonts w:cstheme="minorHAnsi"/>
          <w:b/>
          <w:bCs/>
          <w:i/>
          <w:iCs/>
          <w:color w:val="333333"/>
          <w:sz w:val="24"/>
          <w:szCs w:val="24"/>
        </w:rPr>
        <w:br/>
      </w:r>
      <w:r w:rsidRPr="00E72A66">
        <w:rPr>
          <w:rStyle w:val="a4"/>
          <w:rFonts w:cstheme="minorHAnsi"/>
          <w:i/>
          <w:iCs/>
          <w:color w:val="333333"/>
          <w:sz w:val="24"/>
          <w:szCs w:val="24"/>
        </w:rPr>
        <w:t>1) западноукраинская народность (русины);</w:t>
      </w:r>
      <w:r w:rsidRPr="00E72A66">
        <w:rPr>
          <w:rFonts w:cstheme="minorHAnsi"/>
          <w:b/>
          <w:bCs/>
          <w:i/>
          <w:iCs/>
          <w:color w:val="333333"/>
          <w:sz w:val="24"/>
          <w:szCs w:val="24"/>
        </w:rPr>
        <w:br/>
      </w:r>
      <w:r w:rsidRPr="00E72A66">
        <w:rPr>
          <w:rFonts w:cstheme="minorHAnsi"/>
          <w:b/>
          <w:bCs/>
          <w:i/>
          <w:iCs/>
          <w:color w:val="333333"/>
          <w:sz w:val="24"/>
          <w:szCs w:val="24"/>
        </w:rPr>
        <w:br/>
      </w:r>
      <w:r w:rsidRPr="00E72A66">
        <w:rPr>
          <w:rStyle w:val="a4"/>
          <w:rFonts w:cstheme="minorHAnsi"/>
          <w:i/>
          <w:iCs/>
          <w:color w:val="333333"/>
          <w:sz w:val="24"/>
          <w:szCs w:val="24"/>
        </w:rPr>
        <w:t>2) центральноукраинская народность Гетманщины («малороссы», «черкасы»);</w:t>
      </w:r>
      <w:r w:rsidRPr="00E72A66">
        <w:rPr>
          <w:rFonts w:cstheme="minorHAnsi"/>
          <w:b/>
          <w:bCs/>
          <w:i/>
          <w:iCs/>
          <w:color w:val="333333"/>
          <w:sz w:val="24"/>
          <w:szCs w:val="24"/>
        </w:rPr>
        <w:br/>
      </w:r>
      <w:r w:rsidRPr="00E72A66">
        <w:rPr>
          <w:rFonts w:cstheme="minorHAnsi"/>
          <w:b/>
          <w:bCs/>
          <w:i/>
          <w:iCs/>
          <w:color w:val="333333"/>
          <w:sz w:val="24"/>
          <w:szCs w:val="24"/>
        </w:rPr>
        <w:br/>
      </w:r>
      <w:r w:rsidRPr="00E72A66">
        <w:rPr>
          <w:rStyle w:val="a4"/>
          <w:rFonts w:cstheme="minorHAnsi"/>
          <w:i/>
          <w:iCs/>
          <w:color w:val="333333"/>
          <w:sz w:val="24"/>
          <w:szCs w:val="24"/>
        </w:rPr>
        <w:t>3) остатки древнерусской народности Левого берега (севруки, горюны, полехи и др.).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Style w:val="a4"/>
          <w:rFonts w:cstheme="minorHAnsi"/>
          <w:color w:val="333333"/>
          <w:sz w:val="24"/>
          <w:szCs w:val="24"/>
        </w:rPr>
        <w:t xml:space="preserve">В дальнейшем, в XVII-XIX вв. происходило расселение центральноукраинской </w:t>
      </w:r>
      <w:r w:rsidRPr="00E72A66">
        <w:rPr>
          <w:rStyle w:val="a4"/>
          <w:rFonts w:cstheme="minorHAnsi"/>
          <w:color w:val="333333"/>
          <w:sz w:val="24"/>
          <w:szCs w:val="24"/>
        </w:rPr>
        <w:lastRenderedPageBreak/>
        <w:t>народности на восток и юг, и частичное неполное смешение с великороссами и остатками древнерусского этноса, в результате чего к началу XX в. сложилась ситуация, благоприятная для украинизации и начала строительства украинской нации на основе национализма, несмотря на общерусскую и восточнославянскую интеграцию.</w:t>
      </w:r>
      <w:r w:rsidRPr="00E72A66">
        <w:rPr>
          <w:rFonts w:cstheme="minorHAnsi"/>
          <w:b/>
          <w:bCs/>
          <w:color w:val="333333"/>
          <w:sz w:val="24"/>
          <w:szCs w:val="24"/>
        </w:rPr>
        <w:br/>
      </w:r>
      <w:r w:rsidRPr="00E72A66">
        <w:rPr>
          <w:rFonts w:cstheme="minorHAnsi"/>
          <w:b/>
          <w:bCs/>
          <w:color w:val="333333"/>
          <w:sz w:val="24"/>
          <w:szCs w:val="24"/>
        </w:rPr>
        <w:br/>
      </w:r>
      <w:r w:rsidRPr="00E72A66">
        <w:rPr>
          <w:rStyle w:val="a4"/>
          <w:rFonts w:cstheme="minorHAnsi"/>
          <w:color w:val="333333"/>
          <w:sz w:val="24"/>
          <w:szCs w:val="24"/>
        </w:rPr>
        <w:t>Проект «Украина» стал возможным, хотя и в рамках, ограниченных исторической территорией центра и запада.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Style w:val="a4"/>
          <w:rFonts w:cstheme="minorHAnsi"/>
          <w:color w:val="333333"/>
          <w:sz w:val="24"/>
          <w:szCs w:val="24"/>
        </w:rPr>
        <w:t>Вывод:</w:t>
      </w:r>
      <w:r w:rsidRPr="00E72A66">
        <w:rPr>
          <w:rFonts w:cstheme="minorHAnsi"/>
          <w:b/>
          <w:bCs/>
          <w:color w:val="333333"/>
          <w:sz w:val="24"/>
          <w:szCs w:val="24"/>
        </w:rPr>
        <w:br/>
      </w:r>
      <w:r w:rsidRPr="00E72A66">
        <w:rPr>
          <w:rFonts w:cstheme="minorHAnsi"/>
          <w:b/>
          <w:bCs/>
          <w:color w:val="333333"/>
          <w:sz w:val="24"/>
          <w:szCs w:val="24"/>
        </w:rPr>
        <w:br/>
      </w:r>
      <w:r w:rsidRPr="00E72A66">
        <w:rPr>
          <w:rStyle w:val="a4"/>
          <w:rFonts w:cstheme="minorHAnsi"/>
          <w:color w:val="333333"/>
          <w:sz w:val="24"/>
          <w:szCs w:val="24"/>
        </w:rPr>
        <w:t>Современное разделение Украины на русскую и украинскую этнические и языковые части является следствием, в том числе и раннесредневекового разделения групп восточного славянства, прежде всего сохранения и  устойчивого развития правобережной пост-дулебской этноязыковой группы населения, создавшей основу для сохранения украинского языка и украинской этничности до наших дней.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t>Основные рекомендации по русско-украинскому вопросу: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t>1) Необходимо скорейшее отделение русского юго-востока и левобережного центра от Правобережной Украины как исторической этнической основы украинства.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t>2) Принятие украинской этничности как исторически долговременного постоянно действующего отрицательного для общерусской интеграции фактора, который необходимо преодолеть, но в то же время учитывать.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t>3) Отрицание особой украинской этничности в рамках общерусской нецелесообразно, так же, как и отождествление её с древнерусской этничностью, в противном случае вся история юга достаётся украинству.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t>4) Важно показывать ограниченность украинской этничности Правым берегом.</w:t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</w:rPr>
        <w:br/>
      </w:r>
      <w:r w:rsidRPr="00E72A66">
        <w:rPr>
          <w:rFonts w:cstheme="minorHAnsi"/>
          <w:color w:val="333333"/>
          <w:sz w:val="24"/>
          <w:szCs w:val="24"/>
          <w:shd w:val="clear" w:color="auto" w:fill="FFFFFF"/>
        </w:rPr>
        <w:t>5) Констатация того факта, что древнерусское государство и киевская культура не было продуктом преимущественно предков украинцев, хотя они также участвовали в его строительстве.</w:t>
      </w:r>
    </w:p>
    <w:sectPr w:rsidR="00E72A66" w:rsidRPr="00E72A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A66"/>
    <w:rsid w:val="00AD3066"/>
    <w:rsid w:val="00E72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24AF8"/>
  <w15:chartTrackingRefBased/>
  <w15:docId w15:val="{A3DA553D-F512-4B2A-BEF5-2A0DF76D9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72A66"/>
    <w:rPr>
      <w:i/>
      <w:iCs/>
    </w:rPr>
  </w:style>
  <w:style w:type="character" w:styleId="a4">
    <w:name w:val="Strong"/>
    <w:basedOn w:val="a0"/>
    <w:uiPriority w:val="22"/>
    <w:qFormat/>
    <w:rsid w:val="00E72A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1763</Words>
  <Characters>10054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Панченко</dc:creator>
  <cp:keywords/>
  <dc:description/>
  <cp:lastModifiedBy>Наталья Панченко</cp:lastModifiedBy>
  <cp:revision>1</cp:revision>
  <dcterms:created xsi:type="dcterms:W3CDTF">2020-07-29T09:05:00Z</dcterms:created>
  <dcterms:modified xsi:type="dcterms:W3CDTF">2020-07-29T09:06:00Z</dcterms:modified>
</cp:coreProperties>
</file>